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Y="1"/>
        <w:tblOverlap w:val="never"/>
        <w:tblW w:w="0" w:type="auto"/>
        <w:tblLayout w:type="fixed"/>
        <w:tblCellMar>
          <w:left w:w="7" w:type="dxa"/>
          <w:right w:w="7" w:type="dxa"/>
        </w:tblCellMar>
        <w:tblLook w:val="0000" w:firstRow="0" w:lastRow="0" w:firstColumn="0" w:lastColumn="0" w:noHBand="0" w:noVBand="0"/>
      </w:tblPr>
      <w:tblGrid>
        <w:gridCol w:w="918"/>
        <w:gridCol w:w="8438"/>
      </w:tblGrid>
      <w:tr w:rsidR="0097794A" w:rsidTr="00A801FC">
        <w:tc>
          <w:tcPr>
            <w:tcW w:w="918" w:type="dxa"/>
          </w:tcPr>
          <w:p w:rsidR="0097794A" w:rsidRDefault="0097794A" w:rsidP="00A801FC">
            <w:pPr>
              <w:spacing w:before="120"/>
              <w:rPr>
                <w:b/>
              </w:rPr>
            </w:pPr>
          </w:p>
        </w:tc>
        <w:tc>
          <w:tcPr>
            <w:tcW w:w="8438" w:type="dxa"/>
          </w:tcPr>
          <w:p w:rsidR="0097794A" w:rsidRDefault="0097794A" w:rsidP="00A801FC">
            <w:pPr>
              <w:spacing w:before="120"/>
            </w:pPr>
          </w:p>
        </w:tc>
      </w:tr>
      <w:tr w:rsidR="0097794A" w:rsidTr="00A801FC">
        <w:tc>
          <w:tcPr>
            <w:tcW w:w="918" w:type="dxa"/>
          </w:tcPr>
          <w:p w:rsidR="0097794A" w:rsidRDefault="0097794A" w:rsidP="00A801FC">
            <w:r>
              <w:rPr>
                <w:b/>
              </w:rPr>
              <w:t>To:</w:t>
            </w:r>
          </w:p>
        </w:tc>
        <w:tc>
          <w:tcPr>
            <w:tcW w:w="8438" w:type="dxa"/>
          </w:tcPr>
          <w:p w:rsidR="0097794A" w:rsidRDefault="00027B87" w:rsidP="00A801FC">
            <w:r>
              <w:t>Files</w:t>
            </w:r>
          </w:p>
        </w:tc>
      </w:tr>
      <w:tr w:rsidR="0097794A" w:rsidTr="00A801FC">
        <w:tc>
          <w:tcPr>
            <w:tcW w:w="918" w:type="dxa"/>
          </w:tcPr>
          <w:p w:rsidR="0097794A" w:rsidRDefault="0097794A" w:rsidP="00A801FC">
            <w:pPr>
              <w:spacing w:before="180" w:after="40"/>
            </w:pPr>
            <w:r>
              <w:rPr>
                <w:b/>
              </w:rPr>
              <w:t>From:</w:t>
            </w:r>
          </w:p>
        </w:tc>
        <w:tc>
          <w:tcPr>
            <w:tcW w:w="8438" w:type="dxa"/>
          </w:tcPr>
          <w:p w:rsidR="0097794A" w:rsidRDefault="0097794A" w:rsidP="00A801FC">
            <w:pPr>
              <w:spacing w:before="180" w:after="40"/>
            </w:pPr>
            <w:r>
              <w:t>Analysis Group</w:t>
            </w:r>
          </w:p>
        </w:tc>
      </w:tr>
      <w:tr w:rsidR="0097794A" w:rsidTr="00A801FC">
        <w:tc>
          <w:tcPr>
            <w:tcW w:w="918" w:type="dxa"/>
          </w:tcPr>
          <w:p w:rsidR="0097794A" w:rsidRDefault="0097794A" w:rsidP="00A801FC">
            <w:pPr>
              <w:spacing w:before="180" w:after="40"/>
            </w:pPr>
            <w:r>
              <w:rPr>
                <w:b/>
              </w:rPr>
              <w:t>Date:</w:t>
            </w:r>
          </w:p>
        </w:tc>
        <w:tc>
          <w:tcPr>
            <w:tcW w:w="8438" w:type="dxa"/>
          </w:tcPr>
          <w:p w:rsidR="0097794A" w:rsidRDefault="00EC3ADA" w:rsidP="00205953">
            <w:pPr>
              <w:spacing w:before="180" w:after="40"/>
            </w:pPr>
            <w:r>
              <w:t>September 28, 2020</w:t>
            </w:r>
          </w:p>
        </w:tc>
      </w:tr>
      <w:tr w:rsidR="0097794A" w:rsidTr="00A801FC">
        <w:tc>
          <w:tcPr>
            <w:tcW w:w="918" w:type="dxa"/>
            <w:tcBorders>
              <w:bottom w:val="double" w:sz="4" w:space="0" w:color="auto"/>
            </w:tcBorders>
          </w:tcPr>
          <w:p w:rsidR="0097794A" w:rsidRDefault="0097794A" w:rsidP="00A801FC">
            <w:pPr>
              <w:spacing w:before="180" w:after="40"/>
            </w:pPr>
            <w:r>
              <w:rPr>
                <w:b/>
              </w:rPr>
              <w:t>Re:</w:t>
            </w:r>
          </w:p>
        </w:tc>
        <w:tc>
          <w:tcPr>
            <w:tcW w:w="8438" w:type="dxa"/>
            <w:tcBorders>
              <w:bottom w:val="double" w:sz="4" w:space="0" w:color="auto"/>
            </w:tcBorders>
          </w:tcPr>
          <w:p w:rsidR="0097794A" w:rsidRDefault="00B975C2" w:rsidP="00A801FC">
            <w:pPr>
              <w:spacing w:before="180" w:after="40"/>
            </w:pPr>
            <w:r>
              <w:t>Net EAS Model Read</w:t>
            </w:r>
            <w:r w:rsidR="00E071EA">
              <w:t xml:space="preserve"> </w:t>
            </w:r>
            <w:r>
              <w:t>Me</w:t>
            </w:r>
          </w:p>
        </w:tc>
      </w:tr>
    </w:tbl>
    <w:p w:rsidR="0097794A" w:rsidRDefault="00B975C2" w:rsidP="00122B39">
      <w:pPr>
        <w:tabs>
          <w:tab w:val="left" w:pos="-2880"/>
          <w:tab w:val="left" w:pos="-2790"/>
        </w:tabs>
        <w:spacing w:before="240" w:after="120" w:line="360" w:lineRule="auto"/>
      </w:pPr>
      <w:r>
        <w:tab/>
        <w:t xml:space="preserve">This memo outlines the folder structure and model setup of the Net EAS Model provided to the </w:t>
      </w:r>
      <w:r w:rsidR="00796019">
        <w:t>New York</w:t>
      </w:r>
      <w:r>
        <w:t xml:space="preserve"> ISO by Analysis Group, </w:t>
      </w:r>
      <w:r w:rsidR="0091583C" w:rsidRPr="00167240">
        <w:t>Inc.</w:t>
      </w:r>
      <w:r w:rsidRPr="00167240">
        <w:t xml:space="preserve"> (AGI)</w:t>
      </w:r>
      <w:r w:rsidR="004A18D5" w:rsidRPr="00167240">
        <w:t xml:space="preserve">. </w:t>
      </w:r>
      <w:r w:rsidR="00706943" w:rsidRPr="00167240">
        <w:t>Additional information an</w:t>
      </w:r>
      <w:r w:rsidR="00706943" w:rsidRPr="00706943">
        <w:t>d screen shots can be found in the PowerPoint file posted with the Net EAS Model.</w:t>
      </w:r>
      <w:r w:rsidR="008A5A87">
        <w:t xml:space="preserve"> This copy of the model reflects updated gas price timing.</w:t>
      </w:r>
    </w:p>
    <w:p w:rsidR="00B975C2" w:rsidRPr="00B975C2" w:rsidRDefault="00B975C2" w:rsidP="00122B39">
      <w:pPr>
        <w:tabs>
          <w:tab w:val="left" w:pos="-2880"/>
          <w:tab w:val="left" w:pos="-2790"/>
        </w:tabs>
        <w:spacing w:before="240" w:after="120" w:line="360" w:lineRule="auto"/>
        <w:rPr>
          <w:b/>
        </w:rPr>
      </w:pPr>
      <w:r w:rsidRPr="00B975C2">
        <w:rPr>
          <w:b/>
        </w:rPr>
        <w:t>Folder Structure</w:t>
      </w:r>
    </w:p>
    <w:p w:rsidR="00B975C2" w:rsidRDefault="00B975C2" w:rsidP="00122B39">
      <w:pPr>
        <w:tabs>
          <w:tab w:val="left" w:pos="-2880"/>
          <w:tab w:val="left" w:pos="-2790"/>
        </w:tabs>
        <w:spacing w:before="120" w:after="120" w:line="360" w:lineRule="auto"/>
      </w:pPr>
      <w:r>
        <w:tab/>
        <w:t>The Net EAS Model is stored in five folders to cleanly separate model elements.</w:t>
      </w:r>
    </w:p>
    <w:p w:rsidR="00B975C2" w:rsidRDefault="00B975C2" w:rsidP="00385275">
      <w:pPr>
        <w:pStyle w:val="ListParagraph"/>
        <w:numPr>
          <w:ilvl w:val="0"/>
          <w:numId w:val="1"/>
        </w:numPr>
        <w:tabs>
          <w:tab w:val="left" w:pos="-2880"/>
          <w:tab w:val="left" w:pos="-2790"/>
        </w:tabs>
        <w:spacing w:before="120" w:after="120" w:line="360" w:lineRule="auto"/>
      </w:pPr>
      <w:r w:rsidRPr="00B975C2">
        <w:rPr>
          <w:b/>
        </w:rPr>
        <w:t>Program</w:t>
      </w:r>
      <w:r>
        <w:t>: Contains the Net EAS Model code</w:t>
      </w:r>
      <w:r w:rsidR="00D07A64">
        <w:t>:</w:t>
      </w:r>
    </w:p>
    <w:p w:rsidR="00D07A64" w:rsidRDefault="00D07A64" w:rsidP="008A5A87">
      <w:pPr>
        <w:pStyle w:val="ListParagraph"/>
        <w:numPr>
          <w:ilvl w:val="1"/>
          <w:numId w:val="1"/>
        </w:numPr>
        <w:tabs>
          <w:tab w:val="left" w:pos="-2880"/>
          <w:tab w:val="left" w:pos="-2790"/>
        </w:tabs>
        <w:spacing w:before="120" w:after="120" w:line="360" w:lineRule="auto"/>
      </w:pPr>
      <w:r w:rsidRPr="00D07A64">
        <w:t>1.0 Net EAS CT Revenues Model</w:t>
      </w:r>
      <w:r w:rsidR="008A5A87">
        <w:t xml:space="preserve"> </w:t>
      </w:r>
      <w:r w:rsidR="008A5A87" w:rsidRPr="008A5A87">
        <w:t>(2020.09.28) - Updated</w:t>
      </w:r>
      <w:r w:rsidRPr="00D07A64">
        <w:t>.sas</w:t>
      </w:r>
      <w:r>
        <w:t xml:space="preserve"> contains the primary CT model.</w:t>
      </w:r>
    </w:p>
    <w:p w:rsidR="00D07A64" w:rsidRDefault="00D07A64" w:rsidP="008A5A87">
      <w:pPr>
        <w:pStyle w:val="ListParagraph"/>
        <w:numPr>
          <w:ilvl w:val="1"/>
          <w:numId w:val="1"/>
        </w:numPr>
        <w:tabs>
          <w:tab w:val="left" w:pos="-2880"/>
          <w:tab w:val="left" w:pos="-2790"/>
        </w:tabs>
        <w:spacing w:before="120" w:after="120" w:line="360" w:lineRule="auto"/>
      </w:pPr>
      <w:r w:rsidRPr="00D07A64">
        <w:t>1.</w:t>
      </w:r>
      <w:r>
        <w:t>1</w:t>
      </w:r>
      <w:r w:rsidRPr="00D07A64">
        <w:t xml:space="preserve"> Net EAS CT Revenues Model </w:t>
      </w:r>
      <w:r>
        <w:t xml:space="preserve">No SCR </w:t>
      </w:r>
      <w:r w:rsidR="008A5A87" w:rsidRPr="008A5A87">
        <w:t>(2020.09.28) - Updated</w:t>
      </w:r>
      <w:r w:rsidRPr="00D07A64">
        <w:t>.sas</w:t>
      </w:r>
      <w:r>
        <w:t xml:space="preserve"> contains a modified version of the CT model that runs for a Frame unit without SCR.</w:t>
      </w:r>
    </w:p>
    <w:p w:rsidR="00D07A64" w:rsidRPr="00B975C2" w:rsidRDefault="00D07A64" w:rsidP="008A5A87">
      <w:pPr>
        <w:pStyle w:val="ListParagraph"/>
        <w:numPr>
          <w:ilvl w:val="1"/>
          <w:numId w:val="1"/>
        </w:numPr>
        <w:tabs>
          <w:tab w:val="left" w:pos="-2880"/>
          <w:tab w:val="left" w:pos="-2790"/>
        </w:tabs>
        <w:spacing w:before="120" w:after="120" w:line="360" w:lineRule="auto"/>
      </w:pPr>
      <w:r>
        <w:t>2</w:t>
      </w:r>
      <w:r w:rsidRPr="00D07A64">
        <w:t>.0 Net EAS C</w:t>
      </w:r>
      <w:r>
        <w:t>C</w:t>
      </w:r>
      <w:r w:rsidRPr="00D07A64">
        <w:t xml:space="preserve"> Revenues Model </w:t>
      </w:r>
      <w:r w:rsidR="008A5A87" w:rsidRPr="008A5A87">
        <w:t>(2020.09.28) - Updated</w:t>
      </w:r>
      <w:r w:rsidRPr="00D07A64">
        <w:t>.sas</w:t>
      </w:r>
      <w:r>
        <w:t xml:space="preserve"> contains primary CC model, created for informational purposes only.</w:t>
      </w:r>
    </w:p>
    <w:p w:rsidR="00B975C2" w:rsidRDefault="00B975C2" w:rsidP="00385275">
      <w:pPr>
        <w:pStyle w:val="ListParagraph"/>
        <w:numPr>
          <w:ilvl w:val="0"/>
          <w:numId w:val="1"/>
        </w:numPr>
        <w:tabs>
          <w:tab w:val="left" w:pos="-2880"/>
          <w:tab w:val="left" w:pos="-2790"/>
        </w:tabs>
        <w:spacing w:before="120" w:after="120" w:line="360" w:lineRule="auto"/>
      </w:pPr>
      <w:r w:rsidRPr="00B975C2">
        <w:rPr>
          <w:b/>
        </w:rPr>
        <w:t>Input</w:t>
      </w:r>
      <w:r>
        <w:t xml:space="preserve">: Contains </w:t>
      </w:r>
      <w:r w:rsidR="00D07A64">
        <w:t xml:space="preserve">four </w:t>
      </w:r>
      <w:r>
        <w:t xml:space="preserve">input files: </w:t>
      </w:r>
    </w:p>
    <w:p w:rsidR="00B975C2" w:rsidRDefault="00E37BE1" w:rsidP="00385275">
      <w:pPr>
        <w:pStyle w:val="ListParagraph"/>
        <w:numPr>
          <w:ilvl w:val="1"/>
          <w:numId w:val="1"/>
        </w:numPr>
        <w:tabs>
          <w:tab w:val="left" w:pos="-2880"/>
          <w:tab w:val="left" w:pos="-2790"/>
        </w:tabs>
        <w:spacing w:before="120" w:after="120" w:line="360" w:lineRule="auto"/>
      </w:pPr>
      <w:r>
        <w:t>“Net EAS Model Inputs.xlsx”</w:t>
      </w:r>
      <w:r w:rsidR="00B975C2">
        <w:t xml:space="preserve"> contains Net EAS Model inputs that will be updated on a yearly basis as part of annual updating. </w:t>
      </w:r>
    </w:p>
    <w:p w:rsidR="00B975C2" w:rsidRDefault="00167240" w:rsidP="00385275">
      <w:pPr>
        <w:pStyle w:val="ListParagraph"/>
        <w:numPr>
          <w:ilvl w:val="1"/>
          <w:numId w:val="1"/>
        </w:numPr>
        <w:tabs>
          <w:tab w:val="left" w:pos="-2880"/>
          <w:tab w:val="left" w:pos="-2790"/>
        </w:tabs>
        <w:spacing w:before="120" w:after="120" w:line="360" w:lineRule="auto"/>
      </w:pPr>
      <w:r>
        <w:t>“Lummus Performance and O</w:t>
      </w:r>
      <w:r w:rsidR="00E37BE1">
        <w:t>M Data.xlsx”</w:t>
      </w:r>
      <w:r w:rsidR="00B975C2">
        <w:t xml:space="preserve"> contains technology-specific parameters that can be updated by NYISO’s consultant during each </w:t>
      </w:r>
      <w:r w:rsidR="00FD1511">
        <w:t xml:space="preserve">ICAP </w:t>
      </w:r>
      <w:r w:rsidR="00B975C2">
        <w:t xml:space="preserve">Demand Curve </w:t>
      </w:r>
      <w:r w:rsidR="00FD1511">
        <w:t>r</w:t>
      </w:r>
      <w:r w:rsidR="00B975C2">
        <w:t>eset</w:t>
      </w:r>
      <w:r w:rsidR="00FD1511">
        <w:t xml:space="preserve"> (DCR) process</w:t>
      </w:r>
      <w:r w:rsidR="00B975C2">
        <w:t>.</w:t>
      </w:r>
    </w:p>
    <w:p w:rsidR="00D07A64" w:rsidRDefault="00167240" w:rsidP="00D07A64">
      <w:pPr>
        <w:pStyle w:val="ListParagraph"/>
        <w:numPr>
          <w:ilvl w:val="1"/>
          <w:numId w:val="1"/>
        </w:numPr>
        <w:tabs>
          <w:tab w:val="left" w:pos="-2880"/>
          <w:tab w:val="left" w:pos="-2790"/>
        </w:tabs>
        <w:spacing w:before="120" w:after="120" w:line="360" w:lineRule="auto"/>
      </w:pPr>
      <w:r>
        <w:t>“Lummus Performance and O</w:t>
      </w:r>
      <w:r w:rsidR="00D07A64">
        <w:t>M Data – No SCR.xlsx” contains technology-specific parameters specifically for the No SCR Frame run.</w:t>
      </w:r>
    </w:p>
    <w:p w:rsidR="00FE4483" w:rsidRDefault="00D07A64" w:rsidP="00D07A64">
      <w:pPr>
        <w:pStyle w:val="ListParagraph"/>
        <w:numPr>
          <w:ilvl w:val="1"/>
          <w:numId w:val="1"/>
        </w:numPr>
        <w:tabs>
          <w:tab w:val="left" w:pos="-2880"/>
          <w:tab w:val="left" w:pos="-2790"/>
        </w:tabs>
        <w:spacing w:before="120" w:after="120" w:line="360" w:lineRule="auto"/>
        <w:contextualSpacing w:val="0"/>
      </w:pPr>
      <w:r>
        <w:t xml:space="preserve"> </w:t>
      </w:r>
      <w:r w:rsidR="00FE4483">
        <w:t>“</w:t>
      </w:r>
      <w:r w:rsidR="00FE4483" w:rsidRPr="00FE4483">
        <w:t>Level of Excess Adjustment Factors</w:t>
      </w:r>
      <w:r w:rsidR="00FE4483">
        <w:t xml:space="preserve">.xlsx” contains </w:t>
      </w:r>
      <w:r w:rsidR="00FD1511">
        <w:t>level of excess (</w:t>
      </w:r>
      <w:r w:rsidR="00FE4483">
        <w:t>LOE</w:t>
      </w:r>
      <w:r w:rsidR="00FD1511">
        <w:t>) adjustment factor</w:t>
      </w:r>
      <w:r w:rsidR="00FE4483">
        <w:t xml:space="preserve"> values. </w:t>
      </w:r>
      <w:r w:rsidR="00FD1511">
        <w:t xml:space="preserve">These adjustment factors are utilized to account for the tariff-prescribed LOE conditions for establishing ICAP Demand Curves in the projection of net Energy and Ancillary Services (EAS) revenues.  </w:t>
      </w:r>
      <w:r w:rsidR="00FE4483">
        <w:t xml:space="preserve">LOE </w:t>
      </w:r>
      <w:r w:rsidR="00FD1511">
        <w:t xml:space="preserve">adjustment factor </w:t>
      </w:r>
      <w:r w:rsidR="00FE4483">
        <w:t>values are calculated based on GE MAPS runs.</w:t>
      </w:r>
    </w:p>
    <w:p w:rsidR="00B975C2" w:rsidRDefault="00B975C2" w:rsidP="00385275">
      <w:pPr>
        <w:pStyle w:val="ListParagraph"/>
        <w:numPr>
          <w:ilvl w:val="0"/>
          <w:numId w:val="1"/>
        </w:numPr>
        <w:tabs>
          <w:tab w:val="left" w:pos="-2880"/>
          <w:tab w:val="left" w:pos="-2790"/>
        </w:tabs>
        <w:spacing w:before="120" w:after="120" w:line="360" w:lineRule="auto"/>
      </w:pPr>
      <w:r>
        <w:rPr>
          <w:b/>
        </w:rPr>
        <w:lastRenderedPageBreak/>
        <w:t>Output</w:t>
      </w:r>
      <w:r>
        <w:t xml:space="preserve">: Raw output from the Net EAS Model will be saved by the </w:t>
      </w:r>
      <w:r w:rsidR="00FE4483">
        <w:t xml:space="preserve">SAS </w:t>
      </w:r>
      <w:r>
        <w:t>model in</w:t>
      </w:r>
      <w:r w:rsidR="00FE4483">
        <w:t>to</w:t>
      </w:r>
      <w:r>
        <w:t xml:space="preserve"> this folder.</w:t>
      </w:r>
      <w:r w:rsidR="00FE4483">
        <w:t xml:space="preserve"> </w:t>
      </w:r>
      <w:r w:rsidR="002F41B3">
        <w:t xml:space="preserve">One file is </w:t>
      </w:r>
      <w:r w:rsidR="00FE4483">
        <w:t>output</w:t>
      </w:r>
      <w:r w:rsidR="002F41B3">
        <w:t>ted</w:t>
      </w:r>
      <w:r w:rsidR="00FE4483">
        <w:t xml:space="preserve"> from the model. </w:t>
      </w:r>
      <w:r w:rsidR="002F41B3">
        <w:t>This</w:t>
      </w:r>
      <w:r w:rsidR="00FE4483">
        <w:t xml:space="preserve"> file can be flexibly named based on an input to the SAS model so that multiple runs do not override each other (see “Running or Updating the Net EAS Model”):</w:t>
      </w:r>
    </w:p>
    <w:p w:rsidR="00FE4483" w:rsidRDefault="00EC69D2" w:rsidP="00197F70">
      <w:pPr>
        <w:pStyle w:val="ListParagraph"/>
        <w:numPr>
          <w:ilvl w:val="1"/>
          <w:numId w:val="1"/>
        </w:numPr>
        <w:tabs>
          <w:tab w:val="left" w:pos="-2880"/>
          <w:tab w:val="left" w:pos="-2790"/>
        </w:tabs>
        <w:spacing w:before="120" w:after="120" w:line="360" w:lineRule="auto"/>
      </w:pPr>
      <w:bookmarkStart w:id="0" w:name="_GoBack"/>
      <w:r>
        <w:t>Output files can be</w:t>
      </w:r>
      <w:r w:rsidR="00FE4483">
        <w:t xml:space="preserve"> linked to the “</w:t>
      </w:r>
      <w:r w:rsidR="00E75E05">
        <w:t>EAS Model Results - Linked Copy.xlsx</w:t>
      </w:r>
      <w:r w:rsidR="00FE4483">
        <w:t>”</w:t>
      </w:r>
      <w:r w:rsidR="00E75E05">
        <w:t xml:space="preserve"> file in the Results Tables folder</w:t>
      </w:r>
      <w:r w:rsidR="00FE4483">
        <w:t xml:space="preserve"> to view</w:t>
      </w:r>
      <w:r w:rsidR="00E12020">
        <w:t xml:space="preserve"> </w:t>
      </w:r>
      <w:r w:rsidR="00CE59EF">
        <w:t>a formatted version of net EAS results</w:t>
      </w:r>
      <w:r w:rsidR="006E03F6">
        <w:t>.</w:t>
      </w:r>
    </w:p>
    <w:bookmarkEnd w:id="0"/>
    <w:p w:rsidR="00B975C2" w:rsidRDefault="00B975C2" w:rsidP="00122B39">
      <w:pPr>
        <w:pStyle w:val="ListParagraph"/>
        <w:numPr>
          <w:ilvl w:val="0"/>
          <w:numId w:val="1"/>
        </w:numPr>
        <w:tabs>
          <w:tab w:val="left" w:pos="-2880"/>
          <w:tab w:val="left" w:pos="-2790"/>
        </w:tabs>
        <w:spacing w:before="120" w:after="120" w:line="360" w:lineRule="auto"/>
      </w:pPr>
      <w:r>
        <w:rPr>
          <w:b/>
        </w:rPr>
        <w:t>Datasets</w:t>
      </w:r>
      <w:r w:rsidRPr="00B975C2">
        <w:t>:</w:t>
      </w:r>
      <w:r>
        <w:t xml:space="preserve"> While running, the Net EAS Model saves several intermediate datasets to prevent a need to re-run the entire model in order to inspect hour</w:t>
      </w:r>
      <w:r w:rsidR="00E12020">
        <w:t xml:space="preserve">ly </w:t>
      </w:r>
      <w:r>
        <w:t>results</w:t>
      </w:r>
      <w:r w:rsidR="00E12020">
        <w:t xml:space="preserve"> with all model variables</w:t>
      </w:r>
      <w:r>
        <w:t>. These datasets are</w:t>
      </w:r>
      <w:r w:rsidR="00E12020">
        <w:t>:</w:t>
      </w:r>
    </w:p>
    <w:p w:rsidR="00B975C2" w:rsidRDefault="00B975C2" w:rsidP="00810510">
      <w:pPr>
        <w:pStyle w:val="ListParagraph"/>
        <w:numPr>
          <w:ilvl w:val="1"/>
          <w:numId w:val="1"/>
        </w:numPr>
        <w:tabs>
          <w:tab w:val="left" w:pos="-2880"/>
          <w:tab w:val="left" w:pos="-2790"/>
        </w:tabs>
        <w:spacing w:before="120" w:after="120"/>
      </w:pPr>
      <w:r>
        <w:t>Full_input_data.sas7bdat contains the final input data to the model, merged together into one dataset at the hourly level.</w:t>
      </w:r>
    </w:p>
    <w:p w:rsidR="00B975C2" w:rsidRDefault="00B975C2" w:rsidP="00810510">
      <w:pPr>
        <w:pStyle w:val="ListParagraph"/>
        <w:numPr>
          <w:ilvl w:val="1"/>
          <w:numId w:val="1"/>
        </w:numPr>
        <w:tabs>
          <w:tab w:val="left" w:pos="-2880"/>
          <w:tab w:val="left" w:pos="-2790"/>
        </w:tabs>
        <w:spacing w:before="120" w:after="120"/>
      </w:pPr>
      <w:r>
        <w:t>Modelout_lms.sas7bdat contains the LMS hourly output.</w:t>
      </w:r>
    </w:p>
    <w:p w:rsidR="00B975C2" w:rsidRDefault="00B975C2" w:rsidP="00810510">
      <w:pPr>
        <w:pStyle w:val="ListParagraph"/>
        <w:numPr>
          <w:ilvl w:val="1"/>
          <w:numId w:val="1"/>
        </w:numPr>
        <w:tabs>
          <w:tab w:val="left" w:pos="-2880"/>
          <w:tab w:val="left" w:pos="-2790"/>
        </w:tabs>
        <w:spacing w:before="120" w:after="120"/>
      </w:pPr>
      <w:r>
        <w:t>Modelout_f.sas7bdat contains the Frame hourly output.</w:t>
      </w:r>
    </w:p>
    <w:p w:rsidR="002F41B3" w:rsidRPr="002F41B3" w:rsidRDefault="00EA0BB5" w:rsidP="00810510">
      <w:pPr>
        <w:pStyle w:val="ListParagraph"/>
        <w:numPr>
          <w:ilvl w:val="1"/>
          <w:numId w:val="1"/>
        </w:numPr>
        <w:tabs>
          <w:tab w:val="left" w:pos="-2880"/>
          <w:tab w:val="left" w:pos="-2790"/>
        </w:tabs>
        <w:spacing w:before="120" w:after="120"/>
      </w:pPr>
      <w:r>
        <w:t>Modelout_w.sas7bdat contains the Wartsila hourly output.</w:t>
      </w:r>
    </w:p>
    <w:p w:rsidR="002F41B3" w:rsidRDefault="002F41B3" w:rsidP="00810510">
      <w:pPr>
        <w:pStyle w:val="ListParagraph"/>
        <w:numPr>
          <w:ilvl w:val="1"/>
          <w:numId w:val="1"/>
        </w:numPr>
        <w:tabs>
          <w:tab w:val="left" w:pos="-2880"/>
          <w:tab w:val="left" w:pos="-2790"/>
        </w:tabs>
        <w:spacing w:before="120" w:after="120"/>
        <w:contextualSpacing w:val="0"/>
      </w:pPr>
      <w:r>
        <w:t>Modelout_h.sas7bdat contains the H Machine hourly output.</w:t>
      </w:r>
    </w:p>
    <w:p w:rsidR="00BF6200" w:rsidRDefault="00BF6200" w:rsidP="00601DBC">
      <w:pPr>
        <w:pStyle w:val="ListParagraph"/>
        <w:tabs>
          <w:tab w:val="left" w:pos="-2880"/>
          <w:tab w:val="left" w:pos="-2790"/>
        </w:tabs>
        <w:spacing w:before="120" w:after="120"/>
        <w:contextualSpacing w:val="0"/>
      </w:pPr>
      <w:r>
        <w:t xml:space="preserve">These datasets have two suffixes that can be either, “no” and “yes.” The first indicates if the model is being run in “gas only” mode. The second indicates if the LOE Adjustment factor code is activated. For example, “modelout_lms_no_yes.sas7bdat” indicates that this save file is for a dual fuel, LOE adjusted run. </w:t>
      </w:r>
    </w:p>
    <w:p w:rsidR="00D07A64" w:rsidRDefault="00D07A64" w:rsidP="00601DBC">
      <w:pPr>
        <w:pStyle w:val="ListParagraph"/>
        <w:tabs>
          <w:tab w:val="left" w:pos="-2880"/>
          <w:tab w:val="left" w:pos="-2790"/>
        </w:tabs>
        <w:spacing w:before="120" w:after="120"/>
        <w:contextualSpacing w:val="0"/>
      </w:pPr>
      <w:r>
        <w:t>Model output for the CC or No SCR runs contain additional suffixes.</w:t>
      </w:r>
    </w:p>
    <w:p w:rsidR="00B975C2" w:rsidRDefault="00B975C2" w:rsidP="00215D48">
      <w:pPr>
        <w:pStyle w:val="ListParagraph"/>
        <w:numPr>
          <w:ilvl w:val="0"/>
          <w:numId w:val="1"/>
        </w:numPr>
        <w:tabs>
          <w:tab w:val="left" w:pos="-2880"/>
          <w:tab w:val="left" w:pos="-2790"/>
        </w:tabs>
        <w:spacing w:before="240" w:after="120" w:line="360" w:lineRule="auto"/>
      </w:pPr>
      <w:r w:rsidRPr="00B975C2">
        <w:rPr>
          <w:b/>
        </w:rPr>
        <w:t>Results Tables</w:t>
      </w:r>
      <w:r>
        <w:t xml:space="preserve">: </w:t>
      </w:r>
      <w:r w:rsidR="002F41B3">
        <w:t xml:space="preserve">This </w:t>
      </w:r>
      <w:r w:rsidR="0077056C">
        <w:t xml:space="preserve">folder contains four Excel files with hardcoded results tables for the reference unit in each capability year (“EAS Model Results (20XX-20XX).xlsx”). It also contains an </w:t>
      </w:r>
      <w:r w:rsidR="002F41B3">
        <w:t>Excel file</w:t>
      </w:r>
      <w:r w:rsidR="0077056C">
        <w:t>,</w:t>
      </w:r>
      <w:r>
        <w:t xml:space="preserve"> </w:t>
      </w:r>
      <w:r w:rsidR="0077056C">
        <w:t xml:space="preserve">“EAS Model Results - Linked Copy.xlsx,” that </w:t>
      </w:r>
      <w:r>
        <w:t>can be linked to the Net EAS Model output in order to present final results</w:t>
      </w:r>
      <w:r w:rsidR="004E3B60">
        <w:t>.</w:t>
      </w:r>
      <w:r w:rsidR="00A11A82">
        <w:t xml:space="preserve"> </w:t>
      </w:r>
      <w:r w:rsidR="00215D48">
        <w:t>T</w:t>
      </w:r>
      <w:r w:rsidR="00A11A82">
        <w:t>he</w:t>
      </w:r>
      <w:r w:rsidR="006E03F6">
        <w:t xml:space="preserve"> default</w:t>
      </w:r>
      <w:r w:rsidR="00A11A82">
        <w:t xml:space="preserve"> links </w:t>
      </w:r>
      <w:r w:rsidR="006E03F6">
        <w:t xml:space="preserve">in this workbook </w:t>
      </w:r>
      <w:r w:rsidR="00A11A82">
        <w:t xml:space="preserve">can be changed </w:t>
      </w:r>
      <w:r w:rsidR="006E03F6">
        <w:t xml:space="preserve">to link to outputs </w:t>
      </w:r>
      <w:r w:rsidR="00972DC6">
        <w:t>produced by new user runs</w:t>
      </w:r>
      <w:r w:rsidR="00215D48">
        <w:t>, as described below in “</w:t>
      </w:r>
      <w:r w:rsidR="00215D48" w:rsidRPr="00215D48">
        <w:t>Running or Updating the Net EAS Model</w:t>
      </w:r>
      <w:r w:rsidR="00215D48">
        <w:t xml:space="preserve">.” </w:t>
      </w:r>
      <w:r w:rsidR="002F41B3">
        <w:br/>
      </w:r>
      <w:r w:rsidR="002F41B3" w:rsidRPr="002F41B3">
        <w:rPr>
          <w:b/>
        </w:rPr>
        <w:t>Note:</w:t>
      </w:r>
      <w:r w:rsidR="002F41B3">
        <w:rPr>
          <w:b/>
        </w:rPr>
        <w:t xml:space="preserve"> </w:t>
      </w:r>
      <w:r w:rsidR="002F41B3" w:rsidRPr="002F41B3">
        <w:t xml:space="preserve">The </w:t>
      </w:r>
      <w:r w:rsidR="002F41B3">
        <w:t xml:space="preserve">“EAS Model Output </w:t>
      </w:r>
      <w:r w:rsidR="005E0DA4">
        <w:t>[…]</w:t>
      </w:r>
      <w:r w:rsidR="002F41B3">
        <w:t>.xlsx” file</w:t>
      </w:r>
      <w:r w:rsidR="00972DC6">
        <w:t>s</w:t>
      </w:r>
      <w:r w:rsidR="002F41B3">
        <w:t xml:space="preserve"> that </w:t>
      </w:r>
      <w:r w:rsidR="006E03F6">
        <w:t>users l</w:t>
      </w:r>
      <w:r w:rsidR="002F41B3">
        <w:t xml:space="preserve">ink to the </w:t>
      </w:r>
      <w:r w:rsidR="00972DC6">
        <w:t xml:space="preserve">“EAS Model Results - Linked Copy.xlsx” file </w:t>
      </w:r>
      <w:r w:rsidR="002F41B3">
        <w:t xml:space="preserve">must be open while viewing the results tables to avoid error messages. </w:t>
      </w:r>
    </w:p>
    <w:p w:rsidR="00B975C2" w:rsidRPr="00B975C2" w:rsidRDefault="00B975C2" w:rsidP="00122B39">
      <w:pPr>
        <w:tabs>
          <w:tab w:val="left" w:pos="-2880"/>
          <w:tab w:val="left" w:pos="-2790"/>
        </w:tabs>
        <w:spacing w:before="240" w:after="120" w:line="360" w:lineRule="auto"/>
        <w:rPr>
          <w:b/>
        </w:rPr>
      </w:pPr>
      <w:r w:rsidRPr="00B975C2">
        <w:rPr>
          <w:b/>
        </w:rPr>
        <w:lastRenderedPageBreak/>
        <w:t>Net EAS Model Structure</w:t>
      </w:r>
    </w:p>
    <w:p w:rsidR="00B975C2" w:rsidRDefault="00B975C2" w:rsidP="00122B39">
      <w:pPr>
        <w:tabs>
          <w:tab w:val="left" w:pos="-2880"/>
          <w:tab w:val="left" w:pos="-2790"/>
        </w:tabs>
        <w:spacing w:before="120" w:after="120" w:line="360" w:lineRule="auto"/>
      </w:pPr>
      <w:r>
        <w:tab/>
        <w:t>The Net EAS Model is a SAS model that can be run with SAS 9.4. AGI notes that Excel data input statements function differently in SAS 9.3 and versions</w:t>
      </w:r>
      <w:r w:rsidR="00706943">
        <w:t xml:space="preserve"> prior to 9.4</w:t>
      </w:r>
      <w:r>
        <w:t xml:space="preserve">. The model will not properly input files from Excel with versions </w:t>
      </w:r>
      <w:r w:rsidR="00482C9E">
        <w:t xml:space="preserve">of SAS </w:t>
      </w:r>
      <w:r w:rsidR="00706943">
        <w:t>older than 9.4.</w:t>
      </w:r>
    </w:p>
    <w:p w:rsidR="00B975C2" w:rsidRDefault="00B975C2" w:rsidP="00122B39">
      <w:pPr>
        <w:tabs>
          <w:tab w:val="left" w:pos="-2880"/>
          <w:tab w:val="left" w:pos="-2790"/>
        </w:tabs>
        <w:spacing w:before="120" w:after="120" w:line="360" w:lineRule="auto"/>
      </w:pPr>
      <w:r>
        <w:tab/>
        <w:t xml:space="preserve">The Net EAS </w:t>
      </w:r>
      <w:r w:rsidR="00167240">
        <w:t xml:space="preserve">CT Revenues </w:t>
      </w:r>
      <w:r>
        <w:t>Model is split into 1</w:t>
      </w:r>
      <w:r w:rsidR="00E12020">
        <w:t>1</w:t>
      </w:r>
      <w:r>
        <w:t xml:space="preserve"> segments of code.</w:t>
      </w:r>
    </w:p>
    <w:p w:rsidR="00B975C2" w:rsidRDefault="00B975C2" w:rsidP="00810510">
      <w:pPr>
        <w:pStyle w:val="ListParagraph"/>
        <w:numPr>
          <w:ilvl w:val="0"/>
          <w:numId w:val="2"/>
        </w:numPr>
        <w:tabs>
          <w:tab w:val="left" w:pos="-2880"/>
          <w:tab w:val="left" w:pos="-2790"/>
        </w:tabs>
        <w:spacing w:before="120" w:after="120"/>
      </w:pPr>
      <w:r>
        <w:t>Load Annually Updated Parameters</w:t>
      </w:r>
    </w:p>
    <w:p w:rsidR="00B975C2" w:rsidRDefault="00B975C2" w:rsidP="00810510">
      <w:pPr>
        <w:pStyle w:val="ListParagraph"/>
        <w:numPr>
          <w:ilvl w:val="0"/>
          <w:numId w:val="2"/>
        </w:numPr>
        <w:tabs>
          <w:tab w:val="left" w:pos="-2880"/>
          <w:tab w:val="left" w:pos="-2790"/>
        </w:tabs>
        <w:spacing w:before="120" w:after="120"/>
      </w:pPr>
      <w:r>
        <w:t>Load DCR Set Parameters</w:t>
      </w:r>
    </w:p>
    <w:p w:rsidR="00B975C2" w:rsidRDefault="00B975C2" w:rsidP="00810510">
      <w:pPr>
        <w:pStyle w:val="ListParagraph"/>
        <w:numPr>
          <w:ilvl w:val="0"/>
          <w:numId w:val="2"/>
        </w:numPr>
        <w:tabs>
          <w:tab w:val="left" w:pos="-2880"/>
          <w:tab w:val="left" w:pos="-2790"/>
        </w:tabs>
        <w:spacing w:before="120" w:after="120"/>
      </w:pPr>
      <w:r>
        <w:t>Merge Together Data for Each Hour</w:t>
      </w:r>
    </w:p>
    <w:p w:rsidR="00B975C2" w:rsidRDefault="00B975C2" w:rsidP="00810510">
      <w:pPr>
        <w:pStyle w:val="ListParagraph"/>
        <w:numPr>
          <w:ilvl w:val="0"/>
          <w:numId w:val="2"/>
        </w:numPr>
        <w:tabs>
          <w:tab w:val="left" w:pos="-2880"/>
          <w:tab w:val="left" w:pos="-2790"/>
        </w:tabs>
        <w:spacing w:before="120" w:after="120"/>
      </w:pPr>
      <w:r>
        <w:t>Calculate Base DAM and RTD Energy Profits in Each Hour</w:t>
      </w:r>
    </w:p>
    <w:p w:rsidR="00B975C2" w:rsidRDefault="00B975C2" w:rsidP="00810510">
      <w:pPr>
        <w:pStyle w:val="ListParagraph"/>
        <w:numPr>
          <w:ilvl w:val="0"/>
          <w:numId w:val="2"/>
        </w:numPr>
        <w:tabs>
          <w:tab w:val="left" w:pos="-2880"/>
          <w:tab w:val="left" w:pos="-2790"/>
        </w:tabs>
        <w:spacing w:before="120" w:after="120"/>
      </w:pPr>
      <w:r>
        <w:t>DAM Energy Blocks – Set Day-Ahead Behavior and Determine if Real-Time Buyout Profitable</w:t>
      </w:r>
    </w:p>
    <w:p w:rsidR="00B975C2" w:rsidRDefault="00B975C2" w:rsidP="00810510">
      <w:pPr>
        <w:pStyle w:val="ListParagraph"/>
        <w:numPr>
          <w:ilvl w:val="0"/>
          <w:numId w:val="2"/>
        </w:numPr>
        <w:tabs>
          <w:tab w:val="left" w:pos="-2880"/>
          <w:tab w:val="left" w:pos="-2790"/>
        </w:tabs>
        <w:spacing w:before="120" w:after="120"/>
      </w:pPr>
      <w:r>
        <w:t>DAM Non-Energy Hours – Determine if Units Commit Non-Spin Reserves or No Commitment</w:t>
      </w:r>
    </w:p>
    <w:p w:rsidR="00B975C2" w:rsidRDefault="00B975C2" w:rsidP="00810510">
      <w:pPr>
        <w:pStyle w:val="ListParagraph"/>
        <w:numPr>
          <w:ilvl w:val="0"/>
          <w:numId w:val="2"/>
        </w:numPr>
        <w:tabs>
          <w:tab w:val="left" w:pos="-2880"/>
          <w:tab w:val="left" w:pos="-2790"/>
        </w:tabs>
        <w:spacing w:before="120" w:after="120"/>
      </w:pPr>
      <w:r>
        <w:t>RTD Energy Blocks – Determine if Profitable to Change Day-Ahead Non-Energy to Real-Time Energy Dispatch</w:t>
      </w:r>
    </w:p>
    <w:p w:rsidR="00B975C2" w:rsidRDefault="00B975C2" w:rsidP="00810510">
      <w:pPr>
        <w:pStyle w:val="ListParagraph"/>
        <w:numPr>
          <w:ilvl w:val="0"/>
          <w:numId w:val="2"/>
        </w:numPr>
        <w:tabs>
          <w:tab w:val="left" w:pos="-2880"/>
          <w:tab w:val="left" w:pos="-2790"/>
        </w:tabs>
        <w:spacing w:before="120" w:after="120"/>
      </w:pPr>
      <w:r>
        <w:t>RTD Non-Energy Hours – Determine if Units Buyout or Dispatch Real-Time Reserves</w:t>
      </w:r>
    </w:p>
    <w:p w:rsidR="00B975C2" w:rsidRDefault="00B975C2" w:rsidP="00810510">
      <w:pPr>
        <w:pStyle w:val="ListParagraph"/>
        <w:numPr>
          <w:ilvl w:val="0"/>
          <w:numId w:val="2"/>
        </w:numPr>
        <w:tabs>
          <w:tab w:val="left" w:pos="-2880"/>
          <w:tab w:val="left" w:pos="-2790"/>
        </w:tabs>
        <w:spacing w:before="120" w:after="120"/>
      </w:pPr>
      <w:r>
        <w:t>EFORd Ad</w:t>
      </w:r>
      <w:r w:rsidR="00E67EF6">
        <w:t>justment</w:t>
      </w:r>
    </w:p>
    <w:p w:rsidR="00E67EF6" w:rsidRDefault="00E67EF6" w:rsidP="00810510">
      <w:pPr>
        <w:pStyle w:val="ListParagraph"/>
        <w:numPr>
          <w:ilvl w:val="0"/>
          <w:numId w:val="2"/>
        </w:numPr>
        <w:tabs>
          <w:tab w:val="left" w:pos="-2880"/>
          <w:tab w:val="left" w:pos="-2790"/>
        </w:tabs>
        <w:spacing w:before="120" w:after="120"/>
      </w:pPr>
      <w:r>
        <w:t>Run-Time Limit for New Source Performance Standards</w:t>
      </w:r>
    </w:p>
    <w:p w:rsidR="00B975C2" w:rsidRPr="00706943" w:rsidRDefault="00B975C2" w:rsidP="00810510">
      <w:pPr>
        <w:pStyle w:val="ListParagraph"/>
        <w:numPr>
          <w:ilvl w:val="0"/>
          <w:numId w:val="2"/>
        </w:numPr>
        <w:tabs>
          <w:tab w:val="left" w:pos="-2880"/>
          <w:tab w:val="left" w:pos="-2790"/>
        </w:tabs>
        <w:spacing w:before="120" w:after="120"/>
      </w:pPr>
      <w:r>
        <w:t>Summarize and Output Model Results</w:t>
      </w:r>
    </w:p>
    <w:p w:rsidR="00B975C2" w:rsidRPr="00B975C2" w:rsidRDefault="00FE4483" w:rsidP="00122B39">
      <w:pPr>
        <w:tabs>
          <w:tab w:val="left" w:pos="-2880"/>
          <w:tab w:val="left" w:pos="-2790"/>
        </w:tabs>
        <w:spacing w:before="240" w:after="120" w:line="360" w:lineRule="auto"/>
        <w:rPr>
          <w:b/>
        </w:rPr>
      </w:pPr>
      <w:r>
        <w:rPr>
          <w:b/>
        </w:rPr>
        <w:t xml:space="preserve">Running or </w:t>
      </w:r>
      <w:r w:rsidR="00B975C2" w:rsidRPr="00B975C2">
        <w:rPr>
          <w:b/>
        </w:rPr>
        <w:t>Updating the Net EAS Model</w:t>
      </w:r>
    </w:p>
    <w:p w:rsidR="00B975C2" w:rsidRDefault="00921CED" w:rsidP="00122B39">
      <w:pPr>
        <w:tabs>
          <w:tab w:val="left" w:pos="-2880"/>
          <w:tab w:val="left" w:pos="-2790"/>
        </w:tabs>
        <w:spacing w:before="120" w:after="120" w:line="360" w:lineRule="auto"/>
      </w:pPr>
      <w:r>
        <w:tab/>
      </w:r>
      <w:r w:rsidR="00174848">
        <w:t xml:space="preserve">The Net EAS Model can be updated in </w:t>
      </w:r>
      <w:r w:rsidR="00E37BE1">
        <w:t>4</w:t>
      </w:r>
      <w:r w:rsidR="00174848">
        <w:t xml:space="preserve"> steps</w:t>
      </w:r>
      <w:r w:rsidR="00D90035">
        <w:t>.</w:t>
      </w:r>
    </w:p>
    <w:p w:rsidR="00174848" w:rsidRDefault="00174848" w:rsidP="00122B39">
      <w:pPr>
        <w:pStyle w:val="ListParagraph"/>
        <w:numPr>
          <w:ilvl w:val="0"/>
          <w:numId w:val="3"/>
        </w:numPr>
        <w:tabs>
          <w:tab w:val="left" w:pos="-2880"/>
          <w:tab w:val="left" w:pos="-2790"/>
        </w:tabs>
        <w:spacing w:before="120" w:after="120" w:line="360" w:lineRule="auto"/>
      </w:pPr>
      <w:r>
        <w:t xml:space="preserve">Update the data in </w:t>
      </w:r>
      <w:r w:rsidR="00E37BE1">
        <w:t>“Net EAS Model Inputs.xlsx”</w:t>
      </w:r>
      <w:r>
        <w:t xml:space="preserve"> to reflect a range of days including the three years under study for the update. </w:t>
      </w:r>
    </w:p>
    <w:p w:rsidR="00614DC9" w:rsidRDefault="00614DC9" w:rsidP="00122B39">
      <w:pPr>
        <w:pStyle w:val="ListParagraph"/>
        <w:numPr>
          <w:ilvl w:val="1"/>
          <w:numId w:val="3"/>
        </w:numPr>
        <w:tabs>
          <w:tab w:val="left" w:pos="-2880"/>
          <w:tab w:val="left" w:pos="-2790"/>
        </w:tabs>
        <w:spacing w:before="120" w:after="120" w:line="360" w:lineRule="auto"/>
      </w:pPr>
      <w:r>
        <w:t>This file includes an “Instructions” tab, a “Data Sources” tab and a “Dates tab” that automatically updates based on an input on the “Instructions” sheet.</w:t>
      </w:r>
      <w:r w:rsidR="00502B7C">
        <w:t xml:space="preserve"> </w:t>
      </w:r>
    </w:p>
    <w:p w:rsidR="00614DC9" w:rsidRDefault="00614DC9" w:rsidP="00122B39">
      <w:pPr>
        <w:pStyle w:val="ListParagraph"/>
        <w:numPr>
          <w:ilvl w:val="1"/>
          <w:numId w:val="3"/>
        </w:numPr>
        <w:tabs>
          <w:tab w:val="left" w:pos="-2880"/>
          <w:tab w:val="left" w:pos="-2790"/>
        </w:tabs>
        <w:spacing w:before="120" w:after="120" w:line="360" w:lineRule="auto"/>
      </w:pPr>
      <w:r>
        <w:t xml:space="preserve">The </w:t>
      </w:r>
      <w:r w:rsidR="00706943">
        <w:t xml:space="preserve">remaining </w:t>
      </w:r>
      <w:r>
        <w:t xml:space="preserve">tabs include model inputs. </w:t>
      </w:r>
    </w:p>
    <w:p w:rsidR="00614DC9" w:rsidRDefault="00614DC9" w:rsidP="00A44FD5">
      <w:pPr>
        <w:pStyle w:val="ListParagraph"/>
        <w:numPr>
          <w:ilvl w:val="1"/>
          <w:numId w:val="3"/>
        </w:numPr>
        <w:tabs>
          <w:tab w:val="left" w:pos="-2880"/>
          <w:tab w:val="left" w:pos="-2790"/>
        </w:tabs>
        <w:spacing w:before="120" w:after="120" w:line="360" w:lineRule="auto"/>
      </w:pPr>
      <w:r>
        <w:t xml:space="preserve">The set of </w:t>
      </w:r>
      <w:r w:rsidR="00A44FD5">
        <w:t xml:space="preserve">the </w:t>
      </w:r>
      <w:r>
        <w:t xml:space="preserve">tabs labeled “DA LBMP – </w:t>
      </w:r>
      <w:r w:rsidR="00D07A64">
        <w:t>All Zones</w:t>
      </w:r>
      <w:r>
        <w:t xml:space="preserve">”, “RT LBMP – </w:t>
      </w:r>
      <w:r w:rsidR="00D07A64">
        <w:t>All Zones</w:t>
      </w:r>
      <w:r>
        <w:t xml:space="preserve">”, “DA Ancillary – </w:t>
      </w:r>
      <w:r w:rsidR="00D07A64">
        <w:t>All Zones</w:t>
      </w:r>
      <w:r w:rsidR="00A44FD5">
        <w:t xml:space="preserve">”, and “RT Ancillary – </w:t>
      </w:r>
      <w:r w:rsidR="00D07A64">
        <w:t>DCR Zones</w:t>
      </w:r>
      <w:r w:rsidR="00A44FD5">
        <w:t>”</w:t>
      </w:r>
      <w:r>
        <w:t xml:space="preserve"> include LBMP and ancillary price data </w:t>
      </w:r>
      <w:r w:rsidR="00706943">
        <w:t xml:space="preserve">available on the </w:t>
      </w:r>
      <w:r>
        <w:t>NYISO</w:t>
      </w:r>
      <w:r w:rsidR="00706943">
        <w:t xml:space="preserve"> website</w:t>
      </w:r>
      <w:r>
        <w:t xml:space="preserve">. </w:t>
      </w:r>
      <w:r w:rsidR="00A44FD5">
        <w:br/>
        <w:t xml:space="preserve">Note: </w:t>
      </w:r>
      <w:r w:rsidR="00A44FD5" w:rsidRPr="00A44FD5">
        <w:t xml:space="preserve">RT ancillary prices on </w:t>
      </w:r>
      <w:r w:rsidR="00FC741E">
        <w:t xml:space="preserve">the </w:t>
      </w:r>
      <w:r w:rsidR="00A44FD5" w:rsidRPr="00A44FD5">
        <w:t xml:space="preserve">NYISO </w:t>
      </w:r>
      <w:r w:rsidR="00FC741E">
        <w:t xml:space="preserve">website </w:t>
      </w:r>
      <w:r w:rsidR="00A44FD5" w:rsidRPr="00A44FD5">
        <w:t xml:space="preserve">are five minute prices and </w:t>
      </w:r>
      <w:r w:rsidR="00FC741E">
        <w:t xml:space="preserve">must be </w:t>
      </w:r>
      <w:r w:rsidR="00A44FD5" w:rsidRPr="00A44FD5">
        <w:t xml:space="preserve">converted to hourly integrated prices </w:t>
      </w:r>
      <w:r w:rsidR="00FC741E">
        <w:t>prior to modeling</w:t>
      </w:r>
      <w:r w:rsidR="00A44FD5" w:rsidRPr="00A44FD5">
        <w:t>.</w:t>
      </w:r>
    </w:p>
    <w:p w:rsidR="00174848" w:rsidRDefault="00614DC9" w:rsidP="00122B39">
      <w:pPr>
        <w:pStyle w:val="ListParagraph"/>
        <w:numPr>
          <w:ilvl w:val="1"/>
          <w:numId w:val="3"/>
        </w:numPr>
        <w:tabs>
          <w:tab w:val="left" w:pos="-2880"/>
          <w:tab w:val="left" w:pos="-2790"/>
        </w:tabs>
        <w:spacing w:before="120" w:after="120" w:line="360" w:lineRule="auto"/>
      </w:pPr>
      <w:r>
        <w:t xml:space="preserve">The remaining tabs are </w:t>
      </w:r>
      <w:r w:rsidR="00174848">
        <w:t>named with the</w:t>
      </w:r>
      <w:r>
        <w:t>ir</w:t>
      </w:r>
      <w:r w:rsidR="00174848">
        <w:t xml:space="preserve"> data type and data source. For example, “SNL Gas” indicates that the Gas data comes from SNL.</w:t>
      </w:r>
    </w:p>
    <w:p w:rsidR="00174848" w:rsidRDefault="00174848" w:rsidP="00122B39">
      <w:pPr>
        <w:pStyle w:val="ListParagraph"/>
        <w:numPr>
          <w:ilvl w:val="1"/>
          <w:numId w:val="3"/>
        </w:numPr>
        <w:tabs>
          <w:tab w:val="left" w:pos="-2880"/>
          <w:tab w:val="left" w:pos="-2790"/>
        </w:tabs>
        <w:spacing w:before="120" w:after="120" w:line="360" w:lineRule="auto"/>
      </w:pPr>
      <w:r>
        <w:t xml:space="preserve">Updated data should be put into each sheet using the same column headers and unit of observation (e.g., hourly, monthly, and quarterly) as </w:t>
      </w:r>
      <w:r w:rsidR="005707C0">
        <w:t xml:space="preserve">in </w:t>
      </w:r>
      <w:r>
        <w:t xml:space="preserve">the </w:t>
      </w:r>
      <w:r w:rsidR="00E67EF6">
        <w:t>current “Inputs” file</w:t>
      </w:r>
      <w:r>
        <w:t>.</w:t>
      </w:r>
    </w:p>
    <w:p w:rsidR="005707C0" w:rsidRDefault="005707C0" w:rsidP="00122B39">
      <w:pPr>
        <w:pStyle w:val="ListParagraph"/>
        <w:numPr>
          <w:ilvl w:val="1"/>
          <w:numId w:val="3"/>
        </w:numPr>
        <w:tabs>
          <w:tab w:val="left" w:pos="-2880"/>
          <w:tab w:val="left" w:pos="-2790"/>
        </w:tabs>
        <w:spacing w:before="120" w:after="120" w:line="360" w:lineRule="auto"/>
      </w:pPr>
      <w:r>
        <w:t xml:space="preserve">The Net EAS Model </w:t>
      </w:r>
      <w:r w:rsidR="00174848">
        <w:t xml:space="preserve">will ‘fill </w:t>
      </w:r>
      <w:r w:rsidR="00741D6A">
        <w:t xml:space="preserve">forwards’ </w:t>
      </w:r>
      <w:r w:rsidR="00174848">
        <w:t xml:space="preserve">emission allowance prices on days where they are missing. </w:t>
      </w:r>
      <w:r>
        <w:t xml:space="preserve">To ensure that all days are covered with data, we suggest starting the input data for allowance prices at least one reading prior to the start of the </w:t>
      </w:r>
      <w:r w:rsidR="00706943">
        <w:t>m</w:t>
      </w:r>
      <w:r>
        <w:t>odeling period.</w:t>
      </w:r>
    </w:p>
    <w:p w:rsidR="00D07A64" w:rsidRDefault="005707C0">
      <w:pPr>
        <w:pStyle w:val="ListParagraph"/>
        <w:numPr>
          <w:ilvl w:val="2"/>
          <w:numId w:val="3"/>
        </w:numPr>
        <w:tabs>
          <w:tab w:val="left" w:pos="-2880"/>
          <w:tab w:val="left" w:pos="-2790"/>
        </w:tabs>
        <w:spacing w:before="120" w:after="120" w:line="360" w:lineRule="auto"/>
      </w:pPr>
      <w:r>
        <w:lastRenderedPageBreak/>
        <w:t>F</w:t>
      </w:r>
      <w:r w:rsidR="00174848">
        <w:t xml:space="preserve">or example, RGGI </w:t>
      </w:r>
      <w:r>
        <w:t xml:space="preserve">auctions are conducted </w:t>
      </w:r>
      <w:r w:rsidR="00174848">
        <w:t>quarterly</w:t>
      </w:r>
      <w:r>
        <w:t>. If the modeling period starts between RGGI auctions, the RGGI auction price before the first day of the modeling period should also be provided on the input sheet.</w:t>
      </w:r>
    </w:p>
    <w:p w:rsidR="00EC3ADA" w:rsidRDefault="00EC3ADA" w:rsidP="00A73D89">
      <w:pPr>
        <w:pStyle w:val="ListParagraph"/>
        <w:numPr>
          <w:ilvl w:val="1"/>
          <w:numId w:val="3"/>
        </w:numPr>
        <w:tabs>
          <w:tab w:val="left" w:pos="-2880"/>
          <w:tab w:val="left" w:pos="-2790"/>
        </w:tabs>
        <w:spacing w:before="120" w:after="120" w:line="360" w:lineRule="auto"/>
      </w:pPr>
      <w:r>
        <w:t xml:space="preserve">The Net EAS Model will ‘fill </w:t>
      </w:r>
      <w:r w:rsidR="00741D6A">
        <w:t xml:space="preserve">backwards </w:t>
      </w:r>
      <w:r>
        <w:t>fuel prices on days where they are missing. To ensure that all days are covered with data, we suggest providing the input data for fuel prices through at least one reading after the end of the modeling period.</w:t>
      </w:r>
    </w:p>
    <w:p w:rsidR="00174848" w:rsidRDefault="00174848" w:rsidP="00122B39">
      <w:pPr>
        <w:pStyle w:val="ListParagraph"/>
        <w:numPr>
          <w:ilvl w:val="0"/>
          <w:numId w:val="3"/>
        </w:numPr>
        <w:tabs>
          <w:tab w:val="left" w:pos="-2880"/>
          <w:tab w:val="left" w:pos="-2790"/>
        </w:tabs>
        <w:spacing w:before="120" w:after="120" w:line="360" w:lineRule="auto"/>
      </w:pPr>
      <w:r>
        <w:t xml:space="preserve">Update cell </w:t>
      </w:r>
      <w:r w:rsidR="00E37BE1">
        <w:t>F10</w:t>
      </w:r>
      <w:r>
        <w:t xml:space="preserve"> in sheet </w:t>
      </w:r>
      <w:r w:rsidR="00E37BE1">
        <w:t>“Instructions”</w:t>
      </w:r>
      <w:r>
        <w:t xml:space="preserve"> of the</w:t>
      </w:r>
      <w:r w:rsidR="0062423E">
        <w:t xml:space="preserve"> </w:t>
      </w:r>
      <w:r w:rsidR="00E37BE1">
        <w:t xml:space="preserve">“Net EAS Model Inputs.xlsx” </w:t>
      </w:r>
      <w:r w:rsidR="0062423E">
        <w:t xml:space="preserve">file </w:t>
      </w:r>
      <w:r w:rsidR="00706943">
        <w:t xml:space="preserve">to be </w:t>
      </w:r>
      <w:r w:rsidR="0062423E">
        <w:t xml:space="preserve">the first date of the Net EAS Modeling period. Doing so </w:t>
      </w:r>
      <w:r w:rsidR="00E37BE1">
        <w:t xml:space="preserve">automatically </w:t>
      </w:r>
      <w:r w:rsidR="0062423E">
        <w:t xml:space="preserve">updates sheet </w:t>
      </w:r>
      <w:r w:rsidR="00E37BE1">
        <w:t xml:space="preserve">“Dates” </w:t>
      </w:r>
      <w:r w:rsidR="0062423E">
        <w:t>which determines what days are modeled by the</w:t>
      </w:r>
      <w:r w:rsidR="00E37BE1">
        <w:t xml:space="preserve"> Net EAS Model</w:t>
      </w:r>
      <w:r w:rsidR="0062423E">
        <w:t>.</w:t>
      </w:r>
    </w:p>
    <w:p w:rsidR="0062423E" w:rsidRDefault="0062423E" w:rsidP="00122B39">
      <w:pPr>
        <w:pStyle w:val="ListParagraph"/>
        <w:numPr>
          <w:ilvl w:val="0"/>
          <w:numId w:val="3"/>
        </w:numPr>
        <w:tabs>
          <w:tab w:val="left" w:pos="-2880"/>
          <w:tab w:val="left" w:pos="-2790"/>
        </w:tabs>
        <w:spacing w:before="120" w:after="120" w:line="360" w:lineRule="auto"/>
      </w:pPr>
      <w:r>
        <w:t xml:space="preserve">Run the SAS Code, </w:t>
      </w:r>
      <w:r w:rsidR="00E37BE1">
        <w:t>“1.0 Net EAS Revenues Model</w:t>
      </w:r>
      <w:r w:rsidR="00706943">
        <w:t xml:space="preserve"> </w:t>
      </w:r>
      <w:r w:rsidR="00706943" w:rsidRPr="00796019">
        <w:t>(</w:t>
      </w:r>
      <w:r w:rsidR="009F36DC" w:rsidRPr="008A5A87">
        <w:t>2020.09.28</w:t>
      </w:r>
      <w:r w:rsidR="00706943" w:rsidRPr="00796019">
        <w:t>)</w:t>
      </w:r>
      <w:r w:rsidR="00E37BE1">
        <w:t>.sas”</w:t>
      </w:r>
    </w:p>
    <w:p w:rsidR="002A3468" w:rsidRDefault="002A3468" w:rsidP="00122B39">
      <w:pPr>
        <w:pStyle w:val="ListParagraph"/>
        <w:numPr>
          <w:ilvl w:val="1"/>
          <w:numId w:val="3"/>
        </w:numPr>
        <w:tabs>
          <w:tab w:val="left" w:pos="-2880"/>
          <w:tab w:val="left" w:pos="-2790"/>
        </w:tabs>
        <w:spacing w:before="120" w:after="120" w:line="360" w:lineRule="auto"/>
      </w:pPr>
      <w:r>
        <w:t xml:space="preserve">To run, update </w:t>
      </w:r>
      <w:r w:rsidR="00E37BE1">
        <w:t>“</w:t>
      </w:r>
      <w:r>
        <w:t>filepath</w:t>
      </w:r>
      <w:r w:rsidR="00E37BE1">
        <w:t xml:space="preserve">” on line </w:t>
      </w:r>
      <w:r w:rsidR="00FE4483">
        <w:t>10</w:t>
      </w:r>
      <w:r w:rsidR="00E37BE1">
        <w:t xml:space="preserve"> of the code to </w:t>
      </w:r>
      <w:r w:rsidR="00E67EF6">
        <w:t>reflect the location where the m</w:t>
      </w:r>
      <w:r w:rsidR="00E37BE1">
        <w:t xml:space="preserve">odel </w:t>
      </w:r>
      <w:r w:rsidR="00E67EF6">
        <w:t xml:space="preserve">directories have </w:t>
      </w:r>
      <w:r w:rsidR="00E37BE1">
        <w:t xml:space="preserve">been saved on your system, and </w:t>
      </w:r>
      <w:r w:rsidR="00FE4483">
        <w:t>the “output_name” on line 11 to specify what you would like to name your output file. P</w:t>
      </w:r>
      <w:r>
        <w:t>ush F3</w:t>
      </w:r>
      <w:r w:rsidR="00E37BE1">
        <w:t xml:space="preserve"> to run the code in full.</w:t>
      </w:r>
    </w:p>
    <w:p w:rsidR="0062423E" w:rsidRDefault="0062423E" w:rsidP="00122B39">
      <w:pPr>
        <w:pStyle w:val="ListParagraph"/>
        <w:numPr>
          <w:ilvl w:val="0"/>
          <w:numId w:val="3"/>
        </w:numPr>
        <w:tabs>
          <w:tab w:val="left" w:pos="-2880"/>
          <w:tab w:val="left" w:pos="-2790"/>
        </w:tabs>
        <w:spacing w:before="120" w:after="120" w:line="360" w:lineRule="auto"/>
      </w:pPr>
      <w:r>
        <w:t xml:space="preserve">To view </w:t>
      </w:r>
      <w:r w:rsidR="00E37BE1">
        <w:t xml:space="preserve">output </w:t>
      </w:r>
      <w:r>
        <w:t>diagnostics, update the Linking in</w:t>
      </w:r>
      <w:r w:rsidR="00E37BE1">
        <w:t xml:space="preserve"> “</w:t>
      </w:r>
      <w:r w:rsidR="00E37BE1" w:rsidRPr="00E37BE1">
        <w:t>EAS Model Results</w:t>
      </w:r>
      <w:r w:rsidR="00347D2A">
        <w:t xml:space="preserve"> - Linked Copy</w:t>
      </w:r>
      <w:r>
        <w:t>.xlsx</w:t>
      </w:r>
      <w:r w:rsidR="00E37BE1">
        <w:t>”</w:t>
      </w:r>
      <w:r>
        <w:t xml:space="preserve"> to point to the new output data.</w:t>
      </w:r>
    </w:p>
    <w:p w:rsidR="0062423E" w:rsidRDefault="0062423E" w:rsidP="00122B39">
      <w:pPr>
        <w:pStyle w:val="ListParagraph"/>
        <w:numPr>
          <w:ilvl w:val="1"/>
          <w:numId w:val="3"/>
        </w:numPr>
        <w:tabs>
          <w:tab w:val="left" w:pos="-2880"/>
          <w:tab w:val="left" w:pos="-2790"/>
        </w:tabs>
        <w:spacing w:before="120" w:after="120" w:line="360" w:lineRule="auto"/>
      </w:pPr>
      <w:r>
        <w:t>In Excel, click on Data -&gt; Edit Links -&gt; Change Source</w:t>
      </w:r>
    </w:p>
    <w:sectPr w:rsidR="0062423E" w:rsidSect="00932A59">
      <w:headerReference w:type="default" r:id="rId9"/>
      <w:footerReference w:type="default" r:id="rId10"/>
      <w:headerReference w:type="first" r:id="rId11"/>
      <w:pgSz w:w="12240" w:h="15840" w:code="1"/>
      <w:pgMar w:top="72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67A" w:rsidRDefault="0024267A">
      <w:r>
        <w:separator/>
      </w:r>
    </w:p>
  </w:endnote>
  <w:endnote w:type="continuationSeparator" w:id="0">
    <w:p w:rsidR="0024267A" w:rsidRDefault="00242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94A" w:rsidRDefault="00197F70">
    <w:pPr>
      <w:pStyle w:val="Footer"/>
      <w:spacing w:before="20"/>
      <w:jc w:val="right"/>
      <w:rPr>
        <w:rFonts w:ascii="Arial" w:hAnsi="Arial"/>
      </w:rPr>
    </w:pPr>
    <w:r>
      <w:rPr>
        <w:rFonts w:ascii="Arial" w:hAnsi="Arial"/>
        <w:noProof/>
        <w:sz w:val="18"/>
        <w:lang w:eastAsia="zh-CN"/>
      </w:rPr>
      <w:pict>
        <v:line id="Line 3" o:spid="_x0000_s30721" style="position:absolute;left:0;text-align:lef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1.9pt" to="473.9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" o:allowincell="f"/>
      </w:pict>
    </w:r>
    <w:r w:rsidR="0097794A">
      <w:rPr>
        <w:rFonts w:ascii="Arial" w:hAnsi="Arial"/>
        <w:sz w:val="18"/>
      </w:rPr>
      <w:t xml:space="preserve">ANALYSIS GROUP  </w:t>
    </w:r>
    <w:r w:rsidR="003C1BB5">
      <w:rPr>
        <w:rFonts w:ascii="Arial" w:hAnsi="Arial"/>
        <w:sz w:val="18"/>
      </w:rPr>
      <w:fldChar w:fldCharType="begin"/>
    </w:r>
    <w:r w:rsidR="0097794A">
      <w:rPr>
        <w:rFonts w:ascii="Arial" w:hAnsi="Arial"/>
        <w:sz w:val="18"/>
      </w:rPr>
      <w:instrText>PAGE</w:instrText>
    </w:r>
    <w:r w:rsidR="003C1BB5">
      <w:rPr>
        <w:rFonts w:ascii="Arial" w:hAnsi="Arial"/>
        <w:sz w:val="18"/>
      </w:rPr>
      <w:fldChar w:fldCharType="separate"/>
    </w:r>
    <w:r>
      <w:rPr>
        <w:rFonts w:ascii="Arial" w:hAnsi="Arial"/>
        <w:noProof/>
        <w:sz w:val="18"/>
      </w:rPr>
      <w:t>2</w:t>
    </w:r>
    <w:r w:rsidR="003C1BB5">
      <w:rPr>
        <w:rFonts w:ascii="Arial" w:hAnsi="Arial"/>
        <w:sz w:val="18"/>
      </w:rPr>
      <w:fldChar w:fldCharType="end"/>
    </w:r>
    <w:r w:rsidR="0097794A">
      <w:rPr>
        <w:rFonts w:ascii="Arial" w:hAnsi="Arial"/>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67A" w:rsidRDefault="0024267A">
      <w:r>
        <w:separator/>
      </w:r>
    </w:p>
  </w:footnote>
  <w:footnote w:type="continuationSeparator" w:id="0">
    <w:p w:rsidR="0024267A" w:rsidRDefault="002426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94A" w:rsidRDefault="0097794A">
    <w:pPr>
      <w:pStyle w:val="Header"/>
      <w:tabs>
        <w:tab w:val="clear" w:pos="8640"/>
        <w:tab w:val="right" w:pos="9360"/>
      </w:tabs>
      <w:jc w:val="right"/>
      <w:rPr>
        <w:rFonts w:ascii="Times New Roman" w:hAnsi="Times New Roman"/>
        <w:sz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ook w:val="01E0" w:firstRow="1" w:lastRow="1" w:firstColumn="1" w:lastColumn="1" w:noHBand="0" w:noVBand="0"/>
    </w:tblPr>
    <w:tblGrid>
      <w:gridCol w:w="4788"/>
      <w:gridCol w:w="4788"/>
    </w:tblGrid>
    <w:tr w:rsidR="0047596A" w:rsidTr="00423724">
      <w:trPr>
        <w:trHeight w:val="550"/>
      </w:trPr>
      <w:tc>
        <w:tcPr>
          <w:tcW w:w="4788" w:type="dxa"/>
          <w:shd w:val="clear" w:color="auto" w:fill="auto"/>
        </w:tcPr>
        <w:p w:rsidR="0047596A" w:rsidRDefault="0024267A" w:rsidP="00423724">
          <w:pPr>
            <w:pStyle w:val="Header"/>
            <w:tabs>
              <w:tab w:val="clear" w:pos="8640"/>
              <w:tab w:val="right" w:pos="9360"/>
            </w:tabs>
          </w:pPr>
          <w:r>
            <w:rPr>
              <w:noProof/>
            </w:rPr>
            <w:drawing>
              <wp:inline distT="0" distB="0" distL="0" distR="0">
                <wp:extent cx="1762125" cy="266700"/>
                <wp:effectExtent l="0" t="0" r="9525" b="0"/>
                <wp:docPr id="1" name="Picture 1" descr="AG 2-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G 2-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266700"/>
                        </a:xfrm>
                        <a:prstGeom prst="rect">
                          <a:avLst/>
                        </a:prstGeom>
                        <a:noFill/>
                        <a:ln>
                          <a:noFill/>
                        </a:ln>
                      </pic:spPr>
                    </pic:pic>
                  </a:graphicData>
                </a:graphic>
              </wp:inline>
            </w:drawing>
          </w:r>
        </w:p>
      </w:tc>
      <w:tc>
        <w:tcPr>
          <w:tcW w:w="4788" w:type="dxa"/>
          <w:shd w:val="clear" w:color="auto" w:fill="auto"/>
        </w:tcPr>
        <w:p w:rsidR="0047596A" w:rsidRPr="00423724" w:rsidRDefault="0047596A" w:rsidP="00423724">
          <w:pPr>
            <w:pStyle w:val="Header"/>
            <w:tabs>
              <w:tab w:val="clear" w:pos="8640"/>
              <w:tab w:val="right" w:pos="9360"/>
            </w:tabs>
            <w:jc w:val="right"/>
            <w:rPr>
              <w:i/>
              <w:sz w:val="20"/>
            </w:rPr>
          </w:pPr>
        </w:p>
      </w:tc>
    </w:tr>
  </w:tbl>
  <w:p w:rsidR="00932A59" w:rsidRPr="003E25ED" w:rsidRDefault="00932A59" w:rsidP="0047596A">
    <w:pPr>
      <w:pStyle w:val="Header"/>
      <w:tabs>
        <w:tab w:val="clear" w:pos="864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62AF"/>
    <w:multiLevelType w:val="hybridMultilevel"/>
    <w:tmpl w:val="344CA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5AE59F2"/>
    <w:multiLevelType w:val="hybridMultilevel"/>
    <w:tmpl w:val="E1B20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B2F12A4"/>
    <w:multiLevelType w:val="hybridMultilevel"/>
    <w:tmpl w:val="5FA82AB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30722"/>
    <o:shapelayout v:ext="edit">
      <o:idmap v:ext="edit" data="30"/>
    </o:shapelayout>
  </w:hdrShapeDefaults>
  <w:footnotePr>
    <w:footnote w:id="-1"/>
    <w:footnote w:id="0"/>
  </w:footnotePr>
  <w:endnotePr>
    <w:endnote w:id="-1"/>
    <w:endnote w:id="0"/>
  </w:endnotePr>
  <w:compat>
    <w:compatSetting w:name="compatibilityMode" w:uri="http://schemas.microsoft.com/office/word" w:val="12"/>
  </w:compat>
  <w:rsids>
    <w:rsidRoot w:val="00A95AD1"/>
    <w:rsid w:val="00021A24"/>
    <w:rsid w:val="00027B87"/>
    <w:rsid w:val="000E23D8"/>
    <w:rsid w:val="001060FB"/>
    <w:rsid w:val="00122B39"/>
    <w:rsid w:val="00167240"/>
    <w:rsid w:val="00174848"/>
    <w:rsid w:val="00197F70"/>
    <w:rsid w:val="001F4C9D"/>
    <w:rsid w:val="00205953"/>
    <w:rsid w:val="00215D48"/>
    <w:rsid w:val="002211A8"/>
    <w:rsid w:val="0024267A"/>
    <w:rsid w:val="002A0219"/>
    <w:rsid w:val="002A3468"/>
    <w:rsid w:val="002B3066"/>
    <w:rsid w:val="002C2F7D"/>
    <w:rsid w:val="002F41B3"/>
    <w:rsid w:val="002F67F8"/>
    <w:rsid w:val="003279C3"/>
    <w:rsid w:val="00336CFF"/>
    <w:rsid w:val="00347D2A"/>
    <w:rsid w:val="00385275"/>
    <w:rsid w:val="003C1BB5"/>
    <w:rsid w:val="003E25ED"/>
    <w:rsid w:val="00423724"/>
    <w:rsid w:val="00434BB6"/>
    <w:rsid w:val="004446BC"/>
    <w:rsid w:val="0044610B"/>
    <w:rsid w:val="0047596A"/>
    <w:rsid w:val="00482C9E"/>
    <w:rsid w:val="004A18D5"/>
    <w:rsid w:val="004E08B7"/>
    <w:rsid w:val="004E3B60"/>
    <w:rsid w:val="00502B7C"/>
    <w:rsid w:val="005707C0"/>
    <w:rsid w:val="005E0DA4"/>
    <w:rsid w:val="005E695C"/>
    <w:rsid w:val="00601DBC"/>
    <w:rsid w:val="00614DC9"/>
    <w:rsid w:val="0062423E"/>
    <w:rsid w:val="00646480"/>
    <w:rsid w:val="00672C7D"/>
    <w:rsid w:val="006D3CA9"/>
    <w:rsid w:val="006E03F6"/>
    <w:rsid w:val="00706943"/>
    <w:rsid w:val="00710001"/>
    <w:rsid w:val="00741D6A"/>
    <w:rsid w:val="0077056C"/>
    <w:rsid w:val="00796019"/>
    <w:rsid w:val="007C53F7"/>
    <w:rsid w:val="007D03C5"/>
    <w:rsid w:val="00810510"/>
    <w:rsid w:val="0083771B"/>
    <w:rsid w:val="00852F00"/>
    <w:rsid w:val="00853B7A"/>
    <w:rsid w:val="008A5A87"/>
    <w:rsid w:val="0091583C"/>
    <w:rsid w:val="00921CED"/>
    <w:rsid w:val="00932A59"/>
    <w:rsid w:val="00953103"/>
    <w:rsid w:val="00971FB6"/>
    <w:rsid w:val="00972DC6"/>
    <w:rsid w:val="009743B1"/>
    <w:rsid w:val="0097794A"/>
    <w:rsid w:val="00987330"/>
    <w:rsid w:val="009F36DC"/>
    <w:rsid w:val="00A11A82"/>
    <w:rsid w:val="00A44FD5"/>
    <w:rsid w:val="00A73D89"/>
    <w:rsid w:val="00A801FC"/>
    <w:rsid w:val="00A95AD1"/>
    <w:rsid w:val="00B975C2"/>
    <w:rsid w:val="00BC0A35"/>
    <w:rsid w:val="00BF6200"/>
    <w:rsid w:val="00C51D07"/>
    <w:rsid w:val="00CA3985"/>
    <w:rsid w:val="00CC1EC7"/>
    <w:rsid w:val="00CE59EF"/>
    <w:rsid w:val="00D07A64"/>
    <w:rsid w:val="00D90035"/>
    <w:rsid w:val="00DC0B03"/>
    <w:rsid w:val="00E071EA"/>
    <w:rsid w:val="00E12020"/>
    <w:rsid w:val="00E22171"/>
    <w:rsid w:val="00E37BE1"/>
    <w:rsid w:val="00E67EF6"/>
    <w:rsid w:val="00E75E05"/>
    <w:rsid w:val="00EA0BB5"/>
    <w:rsid w:val="00EC26D4"/>
    <w:rsid w:val="00EC3ADA"/>
    <w:rsid w:val="00EC69D2"/>
    <w:rsid w:val="00EE7459"/>
    <w:rsid w:val="00F15C4E"/>
    <w:rsid w:val="00F944CB"/>
    <w:rsid w:val="00FC741E"/>
    <w:rsid w:val="00FD1511"/>
    <w:rsid w:val="00FE1EEE"/>
    <w:rsid w:val="00FE44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14:docId w14:val="32EF9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1BB5"/>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C1BB5"/>
    <w:pPr>
      <w:tabs>
        <w:tab w:val="center" w:pos="4320"/>
        <w:tab w:val="right" w:pos="8640"/>
      </w:tabs>
    </w:pPr>
    <w:rPr>
      <w:rFonts w:ascii="Tms Rmn" w:hAnsi="Tms Rmn"/>
      <w:sz w:val="24"/>
    </w:rPr>
  </w:style>
  <w:style w:type="paragraph" w:styleId="Header">
    <w:name w:val="header"/>
    <w:basedOn w:val="Normal"/>
    <w:rsid w:val="003C1BB5"/>
    <w:pPr>
      <w:tabs>
        <w:tab w:val="center" w:pos="4320"/>
        <w:tab w:val="right" w:pos="8640"/>
      </w:tabs>
    </w:pPr>
    <w:rPr>
      <w:rFonts w:ascii="Tms Rmn" w:hAnsi="Tms Rmn"/>
      <w:sz w:val="24"/>
    </w:rPr>
  </w:style>
  <w:style w:type="table" w:styleId="TableGrid">
    <w:name w:val="Table Grid"/>
    <w:basedOn w:val="TableNormal"/>
    <w:rsid w:val="004759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3C1BB5"/>
  </w:style>
  <w:style w:type="paragraph" w:styleId="BalloonText">
    <w:name w:val="Balloon Text"/>
    <w:basedOn w:val="Normal"/>
    <w:link w:val="BalloonTextChar"/>
    <w:uiPriority w:val="99"/>
    <w:semiHidden/>
    <w:unhideWhenUsed/>
    <w:rsid w:val="00C51D07"/>
    <w:rPr>
      <w:rFonts w:ascii="Tahoma" w:hAnsi="Tahoma" w:cs="Tahoma"/>
      <w:sz w:val="16"/>
      <w:szCs w:val="16"/>
    </w:rPr>
  </w:style>
  <w:style w:type="character" w:customStyle="1" w:styleId="BalloonTextChar">
    <w:name w:val="Balloon Text Char"/>
    <w:link w:val="BalloonText"/>
    <w:uiPriority w:val="99"/>
    <w:semiHidden/>
    <w:rsid w:val="00C51D07"/>
    <w:rPr>
      <w:rFonts w:ascii="Tahoma" w:hAnsi="Tahoma" w:cs="Tahoma"/>
      <w:sz w:val="16"/>
      <w:szCs w:val="16"/>
    </w:rPr>
  </w:style>
  <w:style w:type="paragraph" w:styleId="ListParagraph">
    <w:name w:val="List Paragraph"/>
    <w:basedOn w:val="Normal"/>
    <w:uiPriority w:val="34"/>
    <w:qFormat/>
    <w:rsid w:val="00B975C2"/>
    <w:pPr>
      <w:ind w:left="720"/>
      <w:contextualSpacing/>
    </w:pPr>
  </w:style>
  <w:style w:type="character" w:styleId="FootnoteReference">
    <w:name w:val="footnote reference"/>
    <w:basedOn w:val="DefaultParagraphFont"/>
    <w:uiPriority w:val="99"/>
    <w:semiHidden/>
    <w:unhideWhenUsed/>
    <w:rsid w:val="006D3C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LongProperties xmlns="http://schemas.microsoft.com/office/2006/metadata/longProperties">
  <LongProp xmlns="" name="SiteNavigation"><![CDATA[85;#Forms ＆ Templates|d042b084-b455-46a9-9ba9-c8b44d366f2b;#58;#Templates|d573eb55-3048-4e83-ac55-a0b41d7faabc;#62;#Legal|985e1e71-6ee0-4a30-8331-7284c7377281;#119;#Marketing|fa2945f7-ad62-4bf5-a5d1-c76d63613041;#1811;#Marketing Info|ce53a4cb-d794-40f4-849e-8d40f116d8f5]]></LongProp>
  <LongProp xmlns="" name="TaxCatchAll"><![CDATA[85;#Forms ＆ Templates|d042b084-b455-46a9-9ba9-c8b44d366f2b;#1811;#Marketing Info|ce53a4cb-d794-40f4-849e-8d40f116d8f5;#62;#Legal|985e1e71-6ee0-4a30-8331-7284c7377281;#37;#Marketing|0aaed759-1241-4875-b16b-b56bcae212dd;#174;#template;#58;#Templates|d573eb55-3048-4e83-ac55-a0b41d7faabc;#445;#Legal;#119;#Marketing|fa2945f7-ad62-4bf5-a5d1-c76d63613041;#1036;#memorandum;#1035;#memo]]></LongProp>
</Long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F0E875-0C79-4DDB-A77E-E8EB8F755FFB}">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08A2B557-4042-4055-A182-C649B9A45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1080</Words>
  <Characters>6159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2016-05-24T18:22:00Z</dcterms:created>
  <dcterms:modified xsi:type="dcterms:W3CDTF">2020-09-29T00:46:00Z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1276350342</vt:i4>
  </property>
  <property fmtid="{D5CDD505-2E9C-101B-9397-08002B2CF9AE}" pid="3" name="_NewReviewCycle">
    <vt:lpwstr/>
  </property>
  <property fmtid="{D5CDD505-2E9C-101B-9397-08002B2CF9AE}" pid="4" name="_ReviewingToolsShownOnce">
    <vt:lpwstr/>
  </property>
</Properties>
</file>